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25" w:rsidRPr="003837A1" w:rsidRDefault="00E30825" w:rsidP="00E30825">
      <w:pPr>
        <w:pStyle w:val="NormalnyWeb"/>
        <w:jc w:val="both"/>
        <w:rPr>
          <w:color w:val="002060"/>
          <w:sz w:val="28"/>
          <w:szCs w:val="28"/>
        </w:rPr>
      </w:pPr>
      <w:r w:rsidRPr="003837A1">
        <w:rPr>
          <w:rFonts w:ascii="Calibri" w:hAnsi="Calibri" w:cs="Courier New"/>
          <w:b/>
          <w:bCs/>
          <w:iCs/>
          <w:color w:val="002060"/>
          <w:sz w:val="28"/>
          <w:szCs w:val="28"/>
        </w:rPr>
        <w:t>Propozycja powołania grupy zadaniowej Komitetu Umowy Partnerstwa ds. realizacji zasady partnerstwa w Funduszach Europejskich</w:t>
      </w:r>
    </w:p>
    <w:p w:rsidR="00E30825" w:rsidRDefault="00E30825" w:rsidP="00E30825">
      <w:pPr>
        <w:pStyle w:val="NormalnyWeb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alibri" w:hAnsi="Calibri" w:cs="Courier New"/>
          <w:b/>
          <w:bCs/>
          <w:i/>
          <w:iCs/>
        </w:rPr>
        <w:t>Diagnoza</w:t>
      </w:r>
    </w:p>
    <w:p w:rsidR="00E30825" w:rsidRDefault="00E30825" w:rsidP="00E30825">
      <w:pPr>
        <w:pStyle w:val="NormalnyWeb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alibri" w:hAnsi="Calibri" w:cs="Courier New"/>
          <w:i/>
          <w:iCs/>
        </w:rPr>
        <w:t>Partnerstwo, jako jedno z podstawowych zasad, na których opiera się sposób wdrażania Funduszy Europejskich w Polsce (Umowa partnerstwa pkt. 1.5.1) wymaga dobrej woli i zaangażowania wszystkich stron, a także wsparcia dla słabszej strony dialogu - partnerów spoza administracji (por. Wytyczne w zakresie realizacji zasady partnerstwa na lata 2014-2020, rozdz. 7). Monitoring realizacji zasady partnerstwa, a także jej roli w osiąganiu celów interwencji powinno być podstawowym zadaniem Komitetu Umowy Partnerstwa, a powołanie grupy zadaniowej, narzędziem do jego realizacji. Grupa taka miałaby charakter zadaniowy a w zależności od efektów jej pracy można byłoby podjąć decyzję dotyczącą sensowności ewentualnego tworzenie grupy o charakterze stałym.</w:t>
      </w:r>
    </w:p>
    <w:p w:rsidR="00E30825" w:rsidRDefault="00E30825" w:rsidP="00E30825">
      <w:pPr>
        <w:pStyle w:val="NormalnyWeb"/>
        <w:jc w:val="both"/>
        <w:rPr>
          <w:rFonts w:ascii="Calibri" w:hAnsi="Calibri" w:cs="Courier New"/>
          <w:b/>
          <w:bCs/>
          <w:i/>
          <w:iCs/>
        </w:rPr>
      </w:pPr>
      <w:r>
        <w:rPr>
          <w:rFonts w:ascii="Calibri" w:hAnsi="Calibri" w:cs="Courier New"/>
          <w:b/>
          <w:bCs/>
          <w:i/>
          <w:iCs/>
        </w:rPr>
        <w:t> Proponowane zadania grupy:</w:t>
      </w:r>
    </w:p>
    <w:p w:rsidR="00E30825" w:rsidRDefault="00447FB8" w:rsidP="00E30825">
      <w:pPr>
        <w:pStyle w:val="NormalnyWeb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alibri" w:hAnsi="Calibri" w:cs="Courier New"/>
          <w:b/>
          <w:bCs/>
          <w:i/>
          <w:iCs/>
        </w:rPr>
        <w:t xml:space="preserve">           </w:t>
      </w:r>
      <w:r w:rsidR="00E30825">
        <w:rPr>
          <w:rFonts w:ascii="Calibri" w:hAnsi="Calibri" w:cs="Courier New"/>
          <w:b/>
          <w:bCs/>
          <w:i/>
          <w:iCs/>
        </w:rPr>
        <w:t>I. Bieżący monitoring realizacji zasady partnerstwa:</w:t>
      </w:r>
    </w:p>
    <w:p w:rsidR="00E30825" w:rsidRDefault="00E30825" w:rsidP="00E30825">
      <w:pPr>
        <w:pStyle w:val="NormalnyWeb"/>
        <w:ind w:left="720"/>
        <w:jc w:val="both"/>
        <w:rPr>
          <w:rFonts w:ascii="Calibri" w:hAnsi="Calibri" w:cs="Courier New"/>
          <w:i/>
          <w:iCs/>
        </w:rPr>
      </w:pPr>
      <w:r>
        <w:rPr>
          <w:rFonts w:ascii="Calibri" w:hAnsi="Calibri" w:cs="Courier New"/>
          <w:i/>
          <w:iCs/>
        </w:rPr>
        <w:t>1. Identyfikacja potrzeb wsparcia partnerów spoza administracji</w:t>
      </w:r>
    </w:p>
    <w:p w:rsidR="00E30825" w:rsidRDefault="00447FB8" w:rsidP="00E30825">
      <w:pPr>
        <w:pStyle w:val="NormalnyWeb"/>
        <w:ind w:left="72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alibri" w:hAnsi="Calibri" w:cs="Courier New"/>
          <w:i/>
          <w:iCs/>
        </w:rPr>
        <w:t>2</w:t>
      </w:r>
      <w:r w:rsidR="00E30825">
        <w:rPr>
          <w:rFonts w:ascii="Calibri" w:hAnsi="Calibri" w:cs="Courier New"/>
          <w:i/>
          <w:iCs/>
        </w:rPr>
        <w:t>.</w:t>
      </w:r>
      <w:r w:rsidR="00E30825">
        <w:rPr>
          <w:sz w:val="14"/>
          <w:szCs w:val="14"/>
        </w:rPr>
        <w:t>      </w:t>
      </w:r>
      <w:r>
        <w:rPr>
          <w:rFonts w:ascii="Calibri" w:hAnsi="Calibri" w:cs="Courier New"/>
          <w:i/>
          <w:iCs/>
        </w:rPr>
        <w:t>Analiza przyjmowanych obecnie dokumentów na poziomie centralnym i regionalnym</w:t>
      </w:r>
      <w:r w:rsidR="00E30825">
        <w:rPr>
          <w:rFonts w:ascii="Calibri" w:hAnsi="Calibri" w:cs="Courier New"/>
          <w:i/>
          <w:iCs/>
        </w:rPr>
        <w:t xml:space="preserve"> (np. funkcjonowania poszczególnych Komitetów Monitorujących) w nowej perspektywie z punktu widzenia ewentualnych strukturalnych naruszeń zasady partnerstwa.  Innymi słowy chodzi o to, aby w ważnej, początkowej fazie nie konstruować mechanizmów, które same w sobie naruszają zasadę partnerstwa lub trwale ją zniekształcają.  </w:t>
      </w:r>
    </w:p>
    <w:p w:rsidR="00E30825" w:rsidRDefault="00447FB8" w:rsidP="00E30825">
      <w:pPr>
        <w:pStyle w:val="NormalnyWeb"/>
        <w:ind w:left="72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alibri" w:hAnsi="Calibri" w:cs="Courier New"/>
          <w:i/>
          <w:iCs/>
        </w:rPr>
        <w:t>3</w:t>
      </w:r>
      <w:r w:rsidR="00E30825">
        <w:rPr>
          <w:rFonts w:ascii="Calibri" w:hAnsi="Calibri" w:cs="Courier New"/>
          <w:i/>
          <w:iCs/>
        </w:rPr>
        <w:t>.</w:t>
      </w:r>
      <w:r w:rsidR="00E30825">
        <w:rPr>
          <w:sz w:val="14"/>
          <w:szCs w:val="14"/>
        </w:rPr>
        <w:t>      </w:t>
      </w:r>
      <w:r w:rsidR="00E30825">
        <w:rPr>
          <w:rFonts w:ascii="Calibri" w:hAnsi="Calibri" w:cs="Courier New"/>
          <w:i/>
          <w:iCs/>
        </w:rPr>
        <w:t>Systematycznego monitorowania stanu wdrażania zasady partnerstwa na poziomie programów operacyjnych – w szczególności wychwytywanie istotnych naruszeń owej zasady i adekwatne reagowanie w takich przypadkach</w:t>
      </w:r>
    </w:p>
    <w:p w:rsidR="00E30825" w:rsidRDefault="00447FB8" w:rsidP="00E30825">
      <w:pPr>
        <w:pStyle w:val="NormalnyWeb"/>
        <w:ind w:left="720"/>
        <w:jc w:val="both"/>
        <w:rPr>
          <w:rFonts w:ascii="Calibri" w:hAnsi="Calibri" w:cs="Courier New"/>
          <w:i/>
          <w:iCs/>
        </w:rPr>
      </w:pPr>
      <w:r>
        <w:rPr>
          <w:rFonts w:ascii="Calibri" w:hAnsi="Calibri" w:cs="Courier New"/>
          <w:i/>
          <w:iCs/>
        </w:rPr>
        <w:t>4.</w:t>
      </w:r>
      <w:r w:rsidR="00E30825">
        <w:rPr>
          <w:sz w:val="14"/>
          <w:szCs w:val="14"/>
        </w:rPr>
        <w:t>      </w:t>
      </w:r>
      <w:r w:rsidR="00E30825">
        <w:rPr>
          <w:rFonts w:ascii="Calibri" w:hAnsi="Calibri" w:cs="Courier New"/>
          <w:i/>
          <w:iCs/>
        </w:rPr>
        <w:t>Diagnozowania potrzeb partnerów dla lepszego funkcjonowania zasady partnerstwa i przygotowania rozwiązań odpowiadających na te potrzeby</w:t>
      </w:r>
    </w:p>
    <w:p w:rsidR="00447FB8" w:rsidRDefault="00447FB8" w:rsidP="00E30825">
      <w:pPr>
        <w:pStyle w:val="NormalnyWeb"/>
        <w:ind w:left="720"/>
        <w:jc w:val="both"/>
        <w:rPr>
          <w:rFonts w:ascii="Calibri" w:hAnsi="Calibri" w:cs="Courier New"/>
          <w:i/>
          <w:iCs/>
        </w:rPr>
      </w:pPr>
      <w:r>
        <w:rPr>
          <w:rFonts w:ascii="Calibri" w:hAnsi="Calibri" w:cs="Courier New"/>
          <w:i/>
          <w:iCs/>
        </w:rPr>
        <w:t xml:space="preserve">5. Analiza barier w podejmowaniu aktywności przez partnerów spoza administracji. </w:t>
      </w:r>
    </w:p>
    <w:p w:rsidR="00447FB8" w:rsidRDefault="00447FB8" w:rsidP="00E30825">
      <w:pPr>
        <w:pStyle w:val="NormalnyWeb"/>
        <w:ind w:left="720"/>
        <w:jc w:val="both"/>
        <w:rPr>
          <w:rFonts w:ascii="Calibri" w:hAnsi="Calibri" w:cs="Courier New"/>
          <w:b/>
          <w:i/>
          <w:iCs/>
        </w:rPr>
      </w:pPr>
      <w:r w:rsidRPr="00447FB8">
        <w:rPr>
          <w:rFonts w:ascii="Calibri" w:hAnsi="Calibri" w:cs="Courier New"/>
          <w:b/>
          <w:i/>
          <w:iCs/>
        </w:rPr>
        <w:t>II. Bieżąca analiza stopnia wdrażania rekomendacji zawartych w europejskim kodeksie postępowania</w:t>
      </w:r>
      <w:r>
        <w:rPr>
          <w:rFonts w:ascii="Calibri" w:hAnsi="Calibri" w:cs="Courier New"/>
          <w:b/>
          <w:i/>
          <w:iCs/>
        </w:rPr>
        <w:t xml:space="preserve"> </w:t>
      </w:r>
      <w:r w:rsidRPr="00447FB8">
        <w:rPr>
          <w:rFonts w:ascii="Calibri" w:hAnsi="Calibri" w:cs="Courier New"/>
          <w:b/>
          <w:i/>
          <w:iCs/>
        </w:rPr>
        <w:t>w sprawie partnerstwa</w:t>
      </w:r>
    </w:p>
    <w:p w:rsidR="00447FB8" w:rsidRDefault="00447FB8" w:rsidP="00E30825">
      <w:pPr>
        <w:pStyle w:val="NormalnyWeb"/>
        <w:ind w:left="720"/>
        <w:jc w:val="both"/>
        <w:rPr>
          <w:i/>
        </w:rPr>
      </w:pPr>
      <w:r w:rsidRPr="00447FB8">
        <w:rPr>
          <w:rFonts w:ascii="Calibri" w:hAnsi="Calibri" w:cs="Courier New"/>
          <w:i/>
          <w:iCs/>
        </w:rPr>
        <w:t>1</w:t>
      </w:r>
      <w:r>
        <w:rPr>
          <w:rFonts w:ascii="Calibri" w:hAnsi="Calibri" w:cs="Courier New"/>
          <w:b/>
          <w:i/>
          <w:iCs/>
        </w:rPr>
        <w:t>.</w:t>
      </w:r>
      <w:r w:rsidRPr="00447FB8">
        <w:t xml:space="preserve"> </w:t>
      </w:r>
      <w:r w:rsidRPr="00447FB8">
        <w:rPr>
          <w:i/>
        </w:rPr>
        <w:t>Zasady wsparcia partnerów spoza administracji</w:t>
      </w:r>
    </w:p>
    <w:p w:rsidR="00447FB8" w:rsidRDefault="00447FB8" w:rsidP="00E30825">
      <w:pPr>
        <w:pStyle w:val="NormalnyWeb"/>
        <w:ind w:left="720"/>
        <w:jc w:val="both"/>
        <w:rPr>
          <w:rFonts w:ascii="Calibri" w:hAnsi="Calibri" w:cs="Courier New"/>
          <w:b/>
          <w:i/>
          <w:iCs/>
        </w:rPr>
      </w:pPr>
      <w:r>
        <w:rPr>
          <w:i/>
        </w:rPr>
        <w:t>2.</w:t>
      </w:r>
      <w:r w:rsidRPr="00447FB8">
        <w:t xml:space="preserve"> </w:t>
      </w:r>
      <w:r w:rsidRPr="00447FB8">
        <w:rPr>
          <w:i/>
        </w:rPr>
        <w:t>Analiza dobrych praktyk z innych krajów UE</w:t>
      </w:r>
    </w:p>
    <w:p w:rsidR="00447FB8" w:rsidRDefault="00447FB8" w:rsidP="00447FB8">
      <w:pPr>
        <w:pStyle w:val="NormalnyWeb"/>
        <w:ind w:left="1440"/>
      </w:pPr>
      <w:r>
        <w:rPr>
          <w:sz w:val="14"/>
          <w:szCs w:val="14"/>
        </w:rPr>
        <w:t xml:space="preserve">     </w:t>
      </w:r>
    </w:p>
    <w:p w:rsidR="00447FB8" w:rsidRDefault="00447FB8" w:rsidP="00447FB8">
      <w:pPr>
        <w:pStyle w:val="NormalnyWeb"/>
        <w:ind w:left="720"/>
        <w:jc w:val="both"/>
        <w:rPr>
          <w:rFonts w:ascii="Calibri" w:hAnsi="Calibri" w:cs="Courier New"/>
          <w:b/>
          <w:i/>
          <w:iCs/>
        </w:rPr>
      </w:pPr>
      <w:r>
        <w:rPr>
          <w:rFonts w:ascii="Calibri" w:hAnsi="Calibri" w:cs="Courier New"/>
          <w:b/>
          <w:i/>
          <w:iCs/>
        </w:rPr>
        <w:t>III. Tworzenie raportów ewaluacyjnych.</w:t>
      </w:r>
    </w:p>
    <w:p w:rsidR="00BC72E8" w:rsidRDefault="00BC72E8" w:rsidP="00447FB8">
      <w:pPr>
        <w:pStyle w:val="NormalnyWeb"/>
        <w:ind w:left="720"/>
        <w:jc w:val="both"/>
        <w:rPr>
          <w:i/>
        </w:rPr>
      </w:pPr>
      <w:r w:rsidRPr="0028202F">
        <w:rPr>
          <w:rFonts w:ascii="Calibri" w:hAnsi="Calibri" w:cs="Courier New"/>
          <w:i/>
          <w:iCs/>
        </w:rPr>
        <w:lastRenderedPageBreak/>
        <w:t>1.</w:t>
      </w:r>
      <w:r w:rsidRPr="00BC72E8">
        <w:t xml:space="preserve"> </w:t>
      </w:r>
      <w:r w:rsidRPr="00BC72E8">
        <w:rPr>
          <w:i/>
        </w:rPr>
        <w:t>Weryfikacja realizacji zasady partnerstwa w fazie tworzenia systemu dystrybucji środków</w:t>
      </w:r>
    </w:p>
    <w:p w:rsidR="00BC72E8" w:rsidRDefault="00BC72E8" w:rsidP="00447FB8">
      <w:pPr>
        <w:pStyle w:val="NormalnyWeb"/>
        <w:ind w:left="720"/>
        <w:jc w:val="both"/>
        <w:rPr>
          <w:i/>
        </w:rPr>
      </w:pPr>
      <w:r>
        <w:rPr>
          <w:i/>
        </w:rPr>
        <w:t>2.</w:t>
      </w:r>
      <w:r w:rsidRPr="00BC72E8">
        <w:t xml:space="preserve"> </w:t>
      </w:r>
      <w:r w:rsidRPr="00BC72E8">
        <w:rPr>
          <w:i/>
        </w:rPr>
        <w:t>Weryfikacja realizacji zasady partnerstwa w fazach: bieżącego wydatkowania środków oraz monitoringu i ewaluacji (ze szczególnym uwzględnieniem wdrażania rekomendacji wypracowywanych w ramach monitoringu i ewaluacji)</w:t>
      </w:r>
    </w:p>
    <w:p w:rsidR="00BC72E8" w:rsidRDefault="00BC72E8" w:rsidP="00447FB8">
      <w:pPr>
        <w:pStyle w:val="NormalnyWeb"/>
        <w:ind w:left="720"/>
        <w:jc w:val="both"/>
        <w:rPr>
          <w:i/>
        </w:rPr>
      </w:pPr>
      <w:r>
        <w:rPr>
          <w:i/>
        </w:rPr>
        <w:t>3.</w:t>
      </w:r>
      <w:r w:rsidRPr="00BC72E8">
        <w:t xml:space="preserve"> </w:t>
      </w:r>
      <w:r w:rsidRPr="00BC72E8">
        <w:rPr>
          <w:i/>
        </w:rPr>
        <w:t>Przestrzeganie realizacji zasady partnerstwa w kontekście wypełniania zapisów zawartych w ustawie wdrożeniowej, ze szczególnym uwzględnieniem prac poszczególnych komitetów monitorujących</w:t>
      </w:r>
    </w:p>
    <w:p w:rsidR="00BC72E8" w:rsidRDefault="00BC72E8" w:rsidP="00447FB8">
      <w:pPr>
        <w:pStyle w:val="NormalnyWeb"/>
        <w:ind w:left="720"/>
        <w:jc w:val="both"/>
        <w:rPr>
          <w:rFonts w:ascii="Calibri" w:hAnsi="Calibri" w:cs="Courier New"/>
          <w:b/>
          <w:i/>
          <w:iCs/>
        </w:rPr>
      </w:pPr>
      <w:r>
        <w:rPr>
          <w:i/>
        </w:rPr>
        <w:t>4.</w:t>
      </w:r>
      <w:r w:rsidRPr="00BC72E8">
        <w:t xml:space="preserve"> </w:t>
      </w:r>
      <w:r w:rsidRPr="00BC72E8">
        <w:rPr>
          <w:i/>
        </w:rPr>
        <w:t>Zaangażowanie partnerów spoza administracji w strategię komunikacji zarówno na poziomie krajowym jak i regionalnym – mierniki wartości dodanej z angażowania partnerów spoza administracji w ten proces</w:t>
      </w:r>
    </w:p>
    <w:p w:rsidR="00447FB8" w:rsidRPr="00447FB8" w:rsidRDefault="00BC72E8" w:rsidP="00447FB8">
      <w:pPr>
        <w:pStyle w:val="NormalnyWeb"/>
        <w:ind w:left="720"/>
        <w:jc w:val="both"/>
        <w:rPr>
          <w:rFonts w:ascii="Calibri" w:hAnsi="Calibri" w:cs="Courier New"/>
          <w:b/>
          <w:i/>
          <w:iCs/>
        </w:rPr>
      </w:pPr>
      <w:r>
        <w:t xml:space="preserve">5. </w:t>
      </w:r>
      <w:r>
        <w:rPr>
          <w:rFonts w:ascii="Calibri" w:hAnsi="Calibri" w:cs="Courier New"/>
          <w:i/>
          <w:iCs/>
        </w:rPr>
        <w:t>Oceny efektów wdrażania zasady partnerstwa i poszukiwania dobrych praktyk ze szczególnym uwzględnieniem instrumentów typu Rozwój Lokalny Kierowany przez Społeczność (RLKS).</w:t>
      </w:r>
    </w:p>
    <w:p w:rsidR="00E30825" w:rsidRDefault="0028202F" w:rsidP="00E30825">
      <w:pPr>
        <w:pStyle w:val="NormalnyWeb"/>
        <w:ind w:left="72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alibri" w:hAnsi="Calibri" w:cs="Courier New"/>
          <w:i/>
          <w:iCs/>
        </w:rPr>
        <w:t>6</w:t>
      </w:r>
      <w:r w:rsidR="00E30825">
        <w:rPr>
          <w:rFonts w:ascii="Calibri" w:hAnsi="Calibri" w:cs="Courier New"/>
          <w:i/>
          <w:iCs/>
        </w:rPr>
        <w:t>.</w:t>
      </w:r>
      <w:r w:rsidR="00E30825">
        <w:rPr>
          <w:sz w:val="14"/>
          <w:szCs w:val="14"/>
        </w:rPr>
        <w:t>      </w:t>
      </w:r>
      <w:r w:rsidR="00E30825">
        <w:rPr>
          <w:rFonts w:ascii="Calibri" w:hAnsi="Calibri" w:cs="Courier New"/>
          <w:i/>
          <w:iCs/>
        </w:rPr>
        <w:t>Wymianę doświadczeń, wewnętrzna komunikacja i harmonizacje działań osób uczestniczących we wdrażaniu funduszy w ramach prac komitetów monitorujących</w:t>
      </w:r>
    </w:p>
    <w:p w:rsidR="0028202F" w:rsidRDefault="0028202F" w:rsidP="003837A1">
      <w:pPr>
        <w:pStyle w:val="NormalnyWeb"/>
        <w:ind w:left="720"/>
        <w:jc w:val="both"/>
        <w:rPr>
          <w:rFonts w:ascii="Calibri" w:hAnsi="Calibri" w:cs="Courier New"/>
          <w:b/>
          <w:i/>
          <w:iCs/>
        </w:rPr>
      </w:pPr>
      <w:r w:rsidRPr="0028202F">
        <w:rPr>
          <w:rFonts w:ascii="Calibri" w:hAnsi="Calibri" w:cs="Courier New"/>
          <w:b/>
          <w:i/>
          <w:iCs/>
        </w:rPr>
        <w:t>IV. Tworzenie systemów naprawczych</w:t>
      </w:r>
    </w:p>
    <w:p w:rsidR="0028202F" w:rsidRPr="0028202F" w:rsidRDefault="0028202F" w:rsidP="003837A1">
      <w:pPr>
        <w:pStyle w:val="NormalnyWeb"/>
        <w:jc w:val="both"/>
        <w:rPr>
          <w:i/>
        </w:rPr>
      </w:pPr>
      <w:r>
        <w:rPr>
          <w:rFonts w:ascii="Calibri" w:hAnsi="Calibri" w:cs="Courier New"/>
          <w:b/>
          <w:i/>
          <w:iCs/>
        </w:rPr>
        <w:t xml:space="preserve"> </w:t>
      </w:r>
      <w:r w:rsidRPr="0028202F">
        <w:rPr>
          <w:i/>
        </w:rPr>
        <w:t>Ustalenie zasad oraz narzędzi interwencji związanych z incydentami dotyczącymi       nieprzestrzegania zasady partnerstwa w ramach wydatkowania środków UE</w:t>
      </w:r>
    </w:p>
    <w:p w:rsidR="0028202F" w:rsidRPr="0028202F" w:rsidRDefault="0028202F" w:rsidP="0028202F">
      <w:pPr>
        <w:pStyle w:val="NormalnyWeb"/>
        <w:ind w:left="720"/>
        <w:jc w:val="both"/>
        <w:rPr>
          <w:rFonts w:ascii="Calibri" w:hAnsi="Calibri" w:cs="Courier New"/>
          <w:b/>
          <w:i/>
          <w:iCs/>
        </w:rPr>
      </w:pPr>
      <w:r>
        <w:rPr>
          <w:rFonts w:ascii="Calibri" w:hAnsi="Calibri" w:cs="Courier New"/>
          <w:b/>
          <w:i/>
          <w:iCs/>
        </w:rPr>
        <w:t>V. Opracowanie zestawu narzędzi wspierających aktywność partnerów spoza administracji</w:t>
      </w:r>
    </w:p>
    <w:p w:rsidR="00E30825" w:rsidRDefault="00E30825" w:rsidP="00E30825">
      <w:pPr>
        <w:pStyle w:val="NormalnyWeb"/>
        <w:ind w:left="720"/>
        <w:jc w:val="both"/>
        <w:rPr>
          <w:rFonts w:ascii="Courier New" w:hAnsi="Courier New" w:cs="Courier New"/>
          <w:sz w:val="19"/>
          <w:szCs w:val="19"/>
        </w:rPr>
      </w:pPr>
      <w:r>
        <w:rPr>
          <w:sz w:val="14"/>
          <w:szCs w:val="14"/>
        </w:rPr>
        <w:t>     </w:t>
      </w:r>
      <w:r>
        <w:rPr>
          <w:rFonts w:ascii="Calibri" w:hAnsi="Calibri" w:cs="Courier New"/>
          <w:i/>
          <w:iCs/>
        </w:rPr>
        <w:t>We współpracy z sekretariatem KUP (tu zdecydowanie jego rola powinna być wiodąca) możliwie systematyczne prowadzenie działań podnoszących wiedzę i kompetencję osób uczestniczących we wdrażaniu funduszy (nie tylko na partnerów spoza administracji, ale szerzej zarówno organów kolegialnych tj. Komitety Monitorujące jak i osób odpowiedzialnych za wdrażanie programów). Chodzi o uruchomienie czegoś w rodzaju Akademii Kompetencji, która po rozpoznaniu potrzeb i oczekiwań uczestników mogłaby (dla osób zainteresowanych danym tematem) tworzyć szanse na wymianę doświadczeń i podnoszenie kompetencji.  W praktyce mogłoby to oznaczać specjalnie przygotowane „zajęcia /seminaria” dotyczące zagadnień zarówno specyficznych dla danego obszaru tematycznego (np. poszczególnych celów zarówno już zdefiniowanych w dokumentach obecnych jak i tych mogą się pojawiać i wymagają namysłu np. kwestia uchodźców) jak i ważnych zagadnień horyzontalnych (np. kwestie ewaluacji, wskaźnikowania, teoria zmiany, metod oceny projektów etc.)  </w:t>
      </w:r>
    </w:p>
    <w:p w:rsidR="003837A1" w:rsidRDefault="00E30825" w:rsidP="00E30825">
      <w:pPr>
        <w:pStyle w:val="NormalnyWeb"/>
        <w:rPr>
          <w:rFonts w:ascii="Calibri" w:hAnsi="Calibri" w:cs="Courier New"/>
          <w:i/>
          <w:iCs/>
        </w:rPr>
      </w:pPr>
      <w:r>
        <w:rPr>
          <w:rFonts w:ascii="Calibri" w:hAnsi="Calibri" w:cs="Courier New"/>
          <w:i/>
          <w:iCs/>
        </w:rPr>
        <w:t> </w:t>
      </w:r>
    </w:p>
    <w:p w:rsidR="003837A1" w:rsidRDefault="003837A1" w:rsidP="00E30825">
      <w:pPr>
        <w:pStyle w:val="NormalnyWeb"/>
        <w:rPr>
          <w:rFonts w:ascii="Calibri" w:hAnsi="Calibri" w:cs="Courier New"/>
          <w:i/>
          <w:iCs/>
        </w:rPr>
      </w:pPr>
    </w:p>
    <w:p w:rsidR="00E30825" w:rsidRDefault="00E30825" w:rsidP="00E30825">
      <w:pPr>
        <w:pStyle w:val="NormalnyWeb"/>
        <w:rPr>
          <w:rFonts w:ascii="Courier New" w:hAnsi="Courier New" w:cs="Courier New"/>
          <w:sz w:val="19"/>
          <w:szCs w:val="19"/>
        </w:rPr>
      </w:pPr>
      <w:r>
        <w:rPr>
          <w:rFonts w:ascii="Calibri" w:hAnsi="Calibri" w:cs="Courier New"/>
          <w:b/>
          <w:bCs/>
          <w:i/>
          <w:iCs/>
        </w:rPr>
        <w:lastRenderedPageBreak/>
        <w:t>Organizacja prac grupy:</w:t>
      </w:r>
    </w:p>
    <w:p w:rsidR="00E30825" w:rsidRDefault="00E30825" w:rsidP="00E30825">
      <w:pPr>
        <w:pStyle w:val="NormalnyWeb"/>
        <w:ind w:left="720"/>
        <w:rPr>
          <w:rFonts w:ascii="Courier New" w:hAnsi="Courier New" w:cs="Courier New"/>
          <w:sz w:val="19"/>
          <w:szCs w:val="19"/>
        </w:rPr>
      </w:pPr>
      <w:r>
        <w:rPr>
          <w:rFonts w:ascii="Calibri" w:hAnsi="Calibri" w:cs="Courier New"/>
          <w:i/>
          <w:iCs/>
        </w:rPr>
        <w:t>Organizacja powyższych zadań wymagałaby powołania grupy roboczej (10-15 osób z większościowym udziałem partnerów spoza administracji, ale obecność osób z administracji także miałaby sens).</w:t>
      </w:r>
    </w:p>
    <w:p w:rsidR="00E30825" w:rsidRDefault="00E30825" w:rsidP="00E30825">
      <w:pPr>
        <w:pStyle w:val="NormalnyWeb"/>
        <w:ind w:left="720"/>
        <w:rPr>
          <w:rFonts w:ascii="Courier New" w:hAnsi="Courier New" w:cs="Courier New"/>
          <w:sz w:val="19"/>
          <w:szCs w:val="19"/>
        </w:rPr>
      </w:pPr>
      <w:r>
        <w:rPr>
          <w:rFonts w:ascii="Calibri" w:hAnsi="Calibri" w:cs="Courier New"/>
          <w:i/>
          <w:iCs/>
        </w:rPr>
        <w:t xml:space="preserve">Stroną techniczną całego przedsięwzięcia powinien się zając jakiś niewielki </w:t>
      </w:r>
      <w:proofErr w:type="spellStart"/>
      <w:r>
        <w:rPr>
          <w:rFonts w:ascii="Calibri" w:hAnsi="Calibri" w:cs="Courier New"/>
          <w:i/>
          <w:iCs/>
        </w:rPr>
        <w:t>sekretariat</w:t>
      </w:r>
      <w:proofErr w:type="spellEnd"/>
      <w:r>
        <w:rPr>
          <w:rFonts w:ascii="Calibri" w:hAnsi="Calibri" w:cs="Courier New"/>
          <w:i/>
          <w:iCs/>
        </w:rPr>
        <w:t xml:space="preserve"> współpracując w tym blisko z sekretariatem KUP (alternatywą jest to, że całą obsługę zapewnia </w:t>
      </w:r>
      <w:proofErr w:type="spellStart"/>
      <w:r>
        <w:rPr>
          <w:rFonts w:ascii="Calibri" w:hAnsi="Calibri" w:cs="Courier New"/>
          <w:i/>
          <w:iCs/>
        </w:rPr>
        <w:t>sekretariat</w:t>
      </w:r>
      <w:proofErr w:type="spellEnd"/>
      <w:r>
        <w:rPr>
          <w:rFonts w:ascii="Calibri" w:hAnsi="Calibri" w:cs="Courier New"/>
          <w:i/>
          <w:iCs/>
        </w:rPr>
        <w:t xml:space="preserve"> KUP)</w:t>
      </w:r>
    </w:p>
    <w:p w:rsidR="00E30825" w:rsidRDefault="00E30825" w:rsidP="00E30825">
      <w:pPr>
        <w:pStyle w:val="NormalnyWeb"/>
        <w:rPr>
          <w:rFonts w:ascii="Courier New" w:hAnsi="Courier New" w:cs="Courier New"/>
          <w:sz w:val="19"/>
          <w:szCs w:val="19"/>
        </w:rPr>
      </w:pPr>
      <w:r>
        <w:rPr>
          <w:rFonts w:ascii="Calibri" w:hAnsi="Calibri" w:cs="Courier New"/>
          <w:b/>
          <w:bCs/>
          <w:i/>
          <w:iCs/>
        </w:rPr>
        <w:t> Praca grupy odbywać się będzie poprzez:</w:t>
      </w:r>
    </w:p>
    <w:p w:rsidR="00E30825" w:rsidRDefault="00E30825" w:rsidP="00E30825">
      <w:pPr>
        <w:pStyle w:val="NormalnyWeb"/>
        <w:ind w:left="72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Symbol" w:hAnsi="Symbol" w:cs="Courier New"/>
        </w:rPr>
        <w:t></w:t>
      </w:r>
      <w:r>
        <w:rPr>
          <w:sz w:val="14"/>
          <w:szCs w:val="14"/>
        </w:rPr>
        <w:t>    </w:t>
      </w:r>
      <w:r>
        <w:rPr>
          <w:rFonts w:ascii="Calibri" w:hAnsi="Calibri" w:cs="Courier New"/>
          <w:i/>
          <w:iCs/>
        </w:rPr>
        <w:t>Spotkania grupy (</w:t>
      </w:r>
      <w:r w:rsidR="003837A1">
        <w:rPr>
          <w:rFonts w:ascii="Calibri" w:hAnsi="Calibri" w:cs="Courier New"/>
          <w:i/>
          <w:iCs/>
        </w:rPr>
        <w:t>8-10</w:t>
      </w:r>
      <w:r>
        <w:rPr>
          <w:rFonts w:ascii="Calibri" w:hAnsi="Calibri" w:cs="Courier New"/>
          <w:i/>
          <w:iCs/>
        </w:rPr>
        <w:t xml:space="preserve"> spotkań rocznie)</w:t>
      </w:r>
    </w:p>
    <w:p w:rsidR="00E30825" w:rsidRDefault="00E30825" w:rsidP="00E30825">
      <w:pPr>
        <w:pStyle w:val="NormalnyWeb"/>
        <w:ind w:left="72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Symbol" w:hAnsi="Symbol" w:cs="Courier New"/>
        </w:rPr>
        <w:t></w:t>
      </w:r>
      <w:r>
        <w:rPr>
          <w:sz w:val="14"/>
          <w:szCs w:val="14"/>
        </w:rPr>
        <w:t>    </w:t>
      </w:r>
      <w:r>
        <w:rPr>
          <w:rFonts w:ascii="Calibri" w:hAnsi="Calibri" w:cs="Courier New"/>
          <w:i/>
          <w:iCs/>
        </w:rPr>
        <w:t>Podtrzymywanie bieżącej komunikacji pomiędzy członkami KUP i KM spoza sektora administracji. Proste formy komunikacji typu lista mailingowa, baza danych, wewnętrzny biuletyn informacyjny</w:t>
      </w:r>
    </w:p>
    <w:p w:rsidR="00E30825" w:rsidRDefault="00E30825" w:rsidP="00E30825">
      <w:pPr>
        <w:pStyle w:val="NormalnyWeb"/>
        <w:ind w:left="72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Symbol" w:hAnsi="Symbol" w:cs="Courier New"/>
        </w:rPr>
        <w:t></w:t>
      </w:r>
      <w:r>
        <w:rPr>
          <w:sz w:val="14"/>
          <w:szCs w:val="14"/>
        </w:rPr>
        <w:t>     </w:t>
      </w:r>
      <w:r>
        <w:rPr>
          <w:rFonts w:ascii="Calibri" w:hAnsi="Calibri" w:cs="Courier New"/>
          <w:i/>
          <w:iCs/>
        </w:rPr>
        <w:t>Warsztaty dla członków komitetów z zakresu stosowania w praktyce zasady partnerstwa, jako sposobu podnoszenia, jakości wdrażania Funduszy Europejskiej) (3  2 dniowe szkolenia w Warszawie dla członków KM – ok 36 osób (średnio po 2 osoby z komitetu)</w:t>
      </w:r>
    </w:p>
    <w:p w:rsidR="00E30825" w:rsidRDefault="00E30825" w:rsidP="00E30825">
      <w:pPr>
        <w:pStyle w:val="NormalnyWeb"/>
        <w:ind w:left="720"/>
        <w:rPr>
          <w:rFonts w:ascii="Courier New" w:hAnsi="Courier New" w:cs="Courier New"/>
          <w:sz w:val="19"/>
          <w:szCs w:val="19"/>
        </w:rPr>
      </w:pPr>
      <w:r>
        <w:rPr>
          <w:rFonts w:ascii="Symbol" w:hAnsi="Symbol" w:cs="Courier New"/>
        </w:rPr>
        <w:t></w:t>
      </w:r>
      <w:r>
        <w:rPr>
          <w:sz w:val="14"/>
          <w:szCs w:val="14"/>
        </w:rPr>
        <w:t>         </w:t>
      </w:r>
      <w:r>
        <w:rPr>
          <w:rFonts w:ascii="Calibri" w:hAnsi="Calibri" w:cs="Courier New"/>
          <w:i/>
          <w:iCs/>
        </w:rPr>
        <w:t>Sejmik członków KM (raz w roku)</w:t>
      </w:r>
    </w:p>
    <w:p w:rsidR="00E30825" w:rsidRDefault="00E30825" w:rsidP="00E30825">
      <w:pPr>
        <w:pStyle w:val="NormalnyWeb"/>
        <w:ind w:left="720"/>
        <w:rPr>
          <w:rFonts w:ascii="Courier New" w:hAnsi="Courier New" w:cs="Courier New"/>
          <w:sz w:val="19"/>
          <w:szCs w:val="19"/>
        </w:rPr>
      </w:pPr>
      <w:r>
        <w:rPr>
          <w:rFonts w:ascii="Symbol" w:hAnsi="Symbol" w:cs="Courier New"/>
        </w:rPr>
        <w:t></w:t>
      </w:r>
      <w:r>
        <w:rPr>
          <w:sz w:val="14"/>
          <w:szCs w:val="14"/>
        </w:rPr>
        <w:t>         </w:t>
      </w:r>
      <w:r>
        <w:rPr>
          <w:rFonts w:ascii="Calibri" w:hAnsi="Calibri" w:cs="Courier New"/>
          <w:i/>
          <w:iCs/>
        </w:rPr>
        <w:t>Badania inwentaryzacyjne, ewaluacyjne i ekspertyzy (</w:t>
      </w:r>
      <w:r w:rsidR="003837A1">
        <w:rPr>
          <w:rFonts w:ascii="Calibri" w:hAnsi="Calibri" w:cs="Courier New"/>
          <w:i/>
          <w:iCs/>
        </w:rPr>
        <w:t>6-12</w:t>
      </w:r>
      <w:r>
        <w:rPr>
          <w:rFonts w:ascii="Calibri" w:hAnsi="Calibri" w:cs="Courier New"/>
          <w:i/>
          <w:iCs/>
        </w:rPr>
        <w:t xml:space="preserve"> w ciągu roku)</w:t>
      </w:r>
    </w:p>
    <w:p w:rsidR="00682ACD" w:rsidRDefault="00682ACD"/>
    <w:sectPr w:rsidR="00682ACD" w:rsidSect="00682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0825"/>
    <w:rsid w:val="0028202F"/>
    <w:rsid w:val="003837A1"/>
    <w:rsid w:val="00447FB8"/>
    <w:rsid w:val="00682ACD"/>
    <w:rsid w:val="00BC72E8"/>
    <w:rsid w:val="00BE663E"/>
    <w:rsid w:val="00E30825"/>
    <w:rsid w:val="00F5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A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08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2015-10-29T06:06:00Z</dcterms:created>
  <dcterms:modified xsi:type="dcterms:W3CDTF">2015-10-29T06:06:00Z</dcterms:modified>
</cp:coreProperties>
</file>